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62" w:rsidRPr="003A2F7E" w:rsidRDefault="00BF7562" w:rsidP="00BF7562">
      <w:pPr>
        <w:pStyle w:val="SUBTITLE"/>
      </w:pPr>
      <w:r w:rsidRPr="003A2F7E">
        <w:t>17CS32E2 - BIOINFORMATICS</w:t>
      </w:r>
    </w:p>
    <w:p w:rsidR="00BF7562" w:rsidRPr="003A2F7E" w:rsidRDefault="00BF7562" w:rsidP="00BF7562">
      <w:pPr>
        <w:pStyle w:val="SUBTITLE"/>
      </w:pPr>
    </w:p>
    <w:tbl>
      <w:tblPr>
        <w:tblStyle w:val="TableGrid"/>
        <w:tblW w:w="10279" w:type="dxa"/>
        <w:tblLook w:val="04A0" w:firstRow="1" w:lastRow="0" w:firstColumn="1" w:lastColumn="0" w:noHBand="0" w:noVBand="1"/>
      </w:tblPr>
      <w:tblGrid>
        <w:gridCol w:w="1668"/>
        <w:gridCol w:w="5103"/>
        <w:gridCol w:w="2714"/>
        <w:gridCol w:w="794"/>
      </w:tblGrid>
      <w:tr w:rsidR="00BF7562" w:rsidRPr="00EE1D63" w:rsidTr="00741D9C">
        <w:trPr>
          <w:trHeight w:val="566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562" w:rsidRPr="00EE1D63" w:rsidRDefault="00BF7562" w:rsidP="00741D9C">
            <w:pPr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EE1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562" w:rsidRPr="00EE1D63" w:rsidRDefault="00BF7562" w:rsidP="00741D9C">
            <w:pP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EE1D63">
              <w:rPr>
                <w:rFonts w:ascii="Times New Roman" w:hAnsi="Times New Roman" w:cs="Times New Roman"/>
                <w:sz w:val="24"/>
                <w:szCs w:val="24"/>
              </w:rPr>
              <w:t>Professional Elective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562" w:rsidRPr="00EE1D63" w:rsidRDefault="00BF7562" w:rsidP="00741D9C">
            <w:pPr>
              <w:jc w:val="right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EE1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562" w:rsidRPr="00EE1D63" w:rsidRDefault="00BF7562" w:rsidP="00741D9C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E1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7562" w:rsidRPr="00EE1D63" w:rsidTr="00741D9C">
        <w:trPr>
          <w:trHeight w:val="566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562" w:rsidRPr="00EE1D63" w:rsidRDefault="00BF7562" w:rsidP="00741D9C">
            <w:pPr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EE1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562" w:rsidRPr="00EE1D63" w:rsidRDefault="00BF7562" w:rsidP="00741D9C">
            <w:pP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EE1D63">
              <w:rPr>
                <w:rFonts w:ascii="Times New Roman" w:hAnsi="Times New Roman" w:cs="Times New Roman"/>
                <w:bCs/>
                <w:sz w:val="24"/>
                <w:szCs w:val="24"/>
              </w:rPr>
              <w:t>Theory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562" w:rsidRPr="00EE1D63" w:rsidRDefault="00BF7562" w:rsidP="00741D9C">
            <w:pPr>
              <w:jc w:val="right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EE1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562" w:rsidRPr="00EE1D63" w:rsidRDefault="00BF7562" w:rsidP="00741D9C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E1D63">
              <w:rPr>
                <w:rFonts w:ascii="Times New Roman" w:hAnsi="Times New Roman" w:cs="Times New Roman"/>
                <w:sz w:val="24"/>
                <w:szCs w:val="24"/>
              </w:rPr>
              <w:t>3-0-0</w:t>
            </w:r>
          </w:p>
        </w:tc>
      </w:tr>
      <w:tr w:rsidR="00BF7562" w:rsidRPr="00EE1D63" w:rsidTr="00741D9C">
        <w:trPr>
          <w:trHeight w:val="861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562" w:rsidRPr="00EE1D63" w:rsidRDefault="00BF7562" w:rsidP="00741D9C">
            <w:pPr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EE1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562" w:rsidRPr="00EE1D63" w:rsidRDefault="00BF7562" w:rsidP="00741D9C">
            <w:pP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EE1D63">
              <w:rPr>
                <w:rFonts w:ascii="Times New Roman" w:hAnsi="Times New Roman" w:cs="Times New Roman"/>
                <w:sz w:val="24"/>
                <w:szCs w:val="24"/>
              </w:rPr>
              <w:t>Need to have basic knowledge on genetic algorithms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562" w:rsidRPr="00EE1D63" w:rsidRDefault="00BF7562" w:rsidP="00741D9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Evaluation:</w:t>
            </w:r>
          </w:p>
          <w:p w:rsidR="00BF7562" w:rsidRPr="00EE1D63" w:rsidRDefault="00BF7562" w:rsidP="00741D9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E1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</w:t>
            </w:r>
            <w:proofErr w:type="spellEnd"/>
            <w:r w:rsidRPr="00EE1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Evaluation:</w:t>
            </w:r>
          </w:p>
          <w:p w:rsidR="00BF7562" w:rsidRPr="00EE1D63" w:rsidRDefault="00BF7562" w:rsidP="00741D9C">
            <w:pPr>
              <w:jc w:val="right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EE1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562" w:rsidRPr="00EE1D63" w:rsidRDefault="00BF7562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BF7562" w:rsidRPr="00EE1D63" w:rsidRDefault="00BF7562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6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BF7562" w:rsidRPr="00EE1D63" w:rsidRDefault="00BF7562" w:rsidP="00741D9C">
            <w:pP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EE1D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F7562" w:rsidRPr="00EE1D63" w:rsidTr="00741D9C">
        <w:trPr>
          <w:trHeight w:val="861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562" w:rsidRPr="00EE1D63" w:rsidRDefault="00BF7562" w:rsidP="00741D9C">
            <w:pPr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EE1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562" w:rsidRPr="00EE1D63" w:rsidRDefault="00BF7562" w:rsidP="00BF7562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342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 explore the applicability of various techniques in different applications</w:t>
            </w:r>
          </w:p>
          <w:p w:rsidR="00BF7562" w:rsidRPr="00EE1D63" w:rsidRDefault="00BF7562" w:rsidP="00BF7562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342" w:firstLine="0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EE1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 select good visualization tools for Analysis</w:t>
            </w:r>
          </w:p>
        </w:tc>
      </w:tr>
    </w:tbl>
    <w:p w:rsidR="00BF7562" w:rsidRPr="003A2F7E" w:rsidRDefault="00BF7562" w:rsidP="00BF7562">
      <w:pPr>
        <w:rPr>
          <w:rFonts w:ascii="Times New Roman" w:hAnsi="Times New Roman" w:cs="Times New Roman"/>
          <w:color w:val="00000A"/>
        </w:rPr>
      </w:pPr>
    </w:p>
    <w:tbl>
      <w:tblPr>
        <w:tblStyle w:val="TableGrid"/>
        <w:tblW w:w="10290" w:type="dxa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8055"/>
      </w:tblGrid>
      <w:tr w:rsidR="00BF7562" w:rsidRPr="00EE1D63" w:rsidTr="00741D9C">
        <w:trPr>
          <w:trHeight w:val="438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562" w:rsidRPr="00EE1D63" w:rsidRDefault="00BF7562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EE1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562" w:rsidRPr="00EE1D63" w:rsidRDefault="00BF7562" w:rsidP="00741D9C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E1D63">
              <w:rPr>
                <w:rFonts w:ascii="Times New Roman" w:hAnsi="Times New Roman" w:cs="Times New Roman"/>
                <w:sz w:val="24"/>
                <w:szCs w:val="24"/>
              </w:rPr>
              <w:t>Upon successful completion of the course, the students will be able to:</w:t>
            </w:r>
          </w:p>
        </w:tc>
      </w:tr>
      <w:tr w:rsidR="00BF7562" w:rsidRPr="00EE1D63" w:rsidTr="00741D9C">
        <w:trPr>
          <w:trHeight w:val="14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562" w:rsidRPr="00EE1D63" w:rsidRDefault="00BF7562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562" w:rsidRPr="00EE1D63" w:rsidRDefault="00BF7562" w:rsidP="00741D9C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E1D63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8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562" w:rsidRPr="00EE1D63" w:rsidRDefault="00BF7562" w:rsidP="00741D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D63">
              <w:rPr>
                <w:rFonts w:ascii="Times New Roman" w:hAnsi="Times New Roman" w:cs="Times New Roman"/>
                <w:sz w:val="24"/>
                <w:szCs w:val="24"/>
              </w:rPr>
              <w:t>Understand the basics of Bioinformatics and patterns</w:t>
            </w:r>
          </w:p>
        </w:tc>
      </w:tr>
      <w:tr w:rsidR="00BF7562" w:rsidRPr="00EE1D63" w:rsidTr="00741D9C">
        <w:trPr>
          <w:trHeight w:val="14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562" w:rsidRPr="00EE1D63" w:rsidRDefault="00BF7562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562" w:rsidRPr="00EE1D63" w:rsidRDefault="00BF7562" w:rsidP="00741D9C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E1D63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8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562" w:rsidRPr="00EE1D63" w:rsidRDefault="00BF7562" w:rsidP="00741D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63">
              <w:rPr>
                <w:rFonts w:ascii="Times New Roman" w:eastAsia="Times New Roman" w:hAnsi="Times New Roman" w:cs="Times New Roman"/>
                <w:sz w:val="24"/>
                <w:szCs w:val="24"/>
              </w:rPr>
              <w:t>Get idea on different Protein Information</w:t>
            </w:r>
          </w:p>
        </w:tc>
      </w:tr>
      <w:tr w:rsidR="00BF7562" w:rsidRPr="00EE1D63" w:rsidTr="00741D9C">
        <w:trPr>
          <w:trHeight w:val="14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562" w:rsidRPr="00EE1D63" w:rsidRDefault="00BF7562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562" w:rsidRPr="00EE1D63" w:rsidRDefault="00BF7562" w:rsidP="00741D9C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E1D63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8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562" w:rsidRPr="00EE1D63" w:rsidRDefault="00BF7562" w:rsidP="00741D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D63">
              <w:rPr>
                <w:rFonts w:ascii="Times New Roman" w:hAnsi="Times New Roman" w:cs="Times New Roman"/>
                <w:sz w:val="24"/>
                <w:szCs w:val="24"/>
              </w:rPr>
              <w:t>Design DNA Sequences</w:t>
            </w:r>
          </w:p>
        </w:tc>
      </w:tr>
      <w:tr w:rsidR="00BF7562" w:rsidRPr="00EE1D63" w:rsidTr="00741D9C">
        <w:trPr>
          <w:trHeight w:val="14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562" w:rsidRPr="00EE1D63" w:rsidRDefault="00BF7562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562" w:rsidRPr="00EE1D63" w:rsidRDefault="00BF7562" w:rsidP="00741D9C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E1D63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8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562" w:rsidRPr="00EE1D63" w:rsidRDefault="00BF7562" w:rsidP="00741D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63">
              <w:rPr>
                <w:rFonts w:ascii="Times New Roman" w:eastAsia="Times New Roman" w:hAnsi="Times New Roman" w:cs="Times New Roman"/>
                <w:sz w:val="24"/>
                <w:szCs w:val="24"/>
              </w:rPr>
              <w:t>Study of Pairwise Alignment Technique</w:t>
            </w:r>
          </w:p>
        </w:tc>
      </w:tr>
      <w:tr w:rsidR="00BF7562" w:rsidRPr="00EE1D63" w:rsidTr="00741D9C">
        <w:trPr>
          <w:trHeight w:val="14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562" w:rsidRPr="00EE1D63" w:rsidRDefault="00BF7562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562" w:rsidRPr="00EE1D63" w:rsidRDefault="00BF7562" w:rsidP="00741D9C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E1D63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8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562" w:rsidRPr="00EE1D63" w:rsidRDefault="00BF7562" w:rsidP="00741D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D63">
              <w:rPr>
                <w:rFonts w:ascii="Times New Roman" w:hAnsi="Times New Roman" w:cs="Times New Roman"/>
                <w:sz w:val="24"/>
                <w:szCs w:val="24"/>
              </w:rPr>
              <w:t>Explore Multiple Sequence alignment techniques</w:t>
            </w:r>
          </w:p>
        </w:tc>
      </w:tr>
      <w:tr w:rsidR="00BF7562" w:rsidRPr="00EE1D63" w:rsidTr="00741D9C">
        <w:trPr>
          <w:trHeight w:val="14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562" w:rsidRPr="00EE1D63" w:rsidRDefault="00BF7562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562" w:rsidRPr="00EE1D63" w:rsidRDefault="00BF7562" w:rsidP="00741D9C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E1D63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8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562" w:rsidRPr="00EE1D63" w:rsidRDefault="00BF7562" w:rsidP="00741D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63">
              <w:rPr>
                <w:rFonts w:ascii="Times New Roman" w:eastAsia="Times New Roman" w:hAnsi="Times New Roman" w:cs="Times New Roman"/>
                <w:sz w:val="24"/>
                <w:szCs w:val="24"/>
              </w:rPr>
              <w:t>Develop Sequence Search Protocol for real time applications</w:t>
            </w:r>
          </w:p>
        </w:tc>
      </w:tr>
      <w:tr w:rsidR="00BF7562" w:rsidRPr="00EE1D63" w:rsidTr="00741D9C">
        <w:trPr>
          <w:trHeight w:val="14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562" w:rsidRPr="00EE1D63" w:rsidRDefault="00BF7562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EE1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562" w:rsidRPr="00EE1D63" w:rsidRDefault="00BF7562" w:rsidP="00741D9C">
            <w:pPr>
              <w:pStyle w:val="UNIT"/>
              <w:spacing w:line="240" w:lineRule="auto"/>
              <w:jc w:val="both"/>
              <w:rPr>
                <w:color w:val="000000" w:themeColor="text1"/>
              </w:rPr>
            </w:pPr>
          </w:p>
          <w:p w:rsidR="00BF7562" w:rsidRDefault="00BF7562" w:rsidP="00741D9C">
            <w:pPr>
              <w:pStyle w:val="UNIT"/>
              <w:spacing w:line="240" w:lineRule="auto"/>
              <w:rPr>
                <w:color w:val="000000" w:themeColor="text1"/>
              </w:rPr>
            </w:pPr>
            <w:r w:rsidRPr="00EE1D63">
              <w:rPr>
                <w:color w:val="000000" w:themeColor="text1"/>
              </w:rPr>
              <w:t xml:space="preserve">UNIT </w:t>
            </w:r>
            <w:r>
              <w:rPr>
                <w:color w:val="000000" w:themeColor="text1"/>
              </w:rPr>
              <w:t>–</w:t>
            </w:r>
            <w:r w:rsidRPr="00EE1D63">
              <w:rPr>
                <w:color w:val="000000" w:themeColor="text1"/>
              </w:rPr>
              <w:t xml:space="preserve"> I</w:t>
            </w:r>
          </w:p>
          <w:p w:rsidR="00BF7562" w:rsidRPr="00EE1D63" w:rsidRDefault="00BF7562" w:rsidP="00741D9C">
            <w:pPr>
              <w:pStyle w:val="UNIT"/>
              <w:spacing w:line="240" w:lineRule="auto"/>
              <w:rPr>
                <w:color w:val="000000" w:themeColor="text1"/>
              </w:rPr>
            </w:pPr>
          </w:p>
          <w:p w:rsidR="00BF7562" w:rsidRDefault="00BF7562" w:rsidP="00741D9C">
            <w:pPr>
              <w:pStyle w:val="UNIT"/>
              <w:spacing w:line="240" w:lineRule="auto"/>
              <w:jc w:val="both"/>
              <w:rPr>
                <w:b w:val="0"/>
                <w:color w:val="000000" w:themeColor="text1"/>
                <w:u w:val="none"/>
              </w:rPr>
            </w:pPr>
            <w:r w:rsidRPr="00EE1D63">
              <w:rPr>
                <w:color w:val="000000" w:themeColor="text1"/>
                <w:u w:val="none"/>
              </w:rPr>
              <w:t>Introduction:</w:t>
            </w:r>
            <w:r w:rsidRPr="00EE1D63">
              <w:rPr>
                <w:b w:val="0"/>
                <w:color w:val="000000" w:themeColor="text1"/>
                <w:u w:val="none"/>
              </w:rPr>
              <w:t xml:space="preserve"> The dawn of sequencing, What is bioinformatics?, The Biological sequence/structure deficit, Genome projects, Status of genome project, Why Bioinformatics is important?, Pattern recognition  and prediction, The folding problem, The role of chaperones, Sequence analysis, Homology and analogy</w:t>
            </w:r>
          </w:p>
          <w:p w:rsidR="00BF7562" w:rsidRPr="00EE1D63" w:rsidRDefault="00BF7562" w:rsidP="00741D9C">
            <w:pPr>
              <w:pStyle w:val="UNIT"/>
              <w:spacing w:line="240" w:lineRule="auto"/>
              <w:jc w:val="both"/>
              <w:rPr>
                <w:b w:val="0"/>
                <w:color w:val="000000" w:themeColor="text1"/>
                <w:u w:val="none"/>
              </w:rPr>
            </w:pPr>
          </w:p>
          <w:p w:rsidR="00BF7562" w:rsidRDefault="00BF7562" w:rsidP="00741D9C">
            <w:pPr>
              <w:pStyle w:val="UNIT"/>
              <w:spacing w:line="240" w:lineRule="auto"/>
              <w:rPr>
                <w:color w:val="000000" w:themeColor="text1"/>
              </w:rPr>
            </w:pPr>
            <w:r w:rsidRPr="00EE1D63">
              <w:rPr>
                <w:color w:val="000000" w:themeColor="text1"/>
              </w:rPr>
              <w:t>UNIT – II</w:t>
            </w:r>
          </w:p>
          <w:p w:rsidR="00BF7562" w:rsidRPr="00EE1D63" w:rsidRDefault="00BF7562" w:rsidP="00741D9C">
            <w:pPr>
              <w:pStyle w:val="UNIT"/>
              <w:spacing w:line="240" w:lineRule="auto"/>
              <w:rPr>
                <w:color w:val="000000" w:themeColor="text1"/>
              </w:rPr>
            </w:pPr>
          </w:p>
          <w:p w:rsidR="00BF7562" w:rsidRDefault="00BF7562" w:rsidP="00741D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Protein Information Resources: </w:t>
            </w:r>
            <w:r w:rsidRPr="00EE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Introduction, Biological Databases, Primary sequence databases, Composite Protein Sequence databases, Secondary databases, Composite Protein pattern databases, Structure Classification databases.</w:t>
            </w:r>
          </w:p>
          <w:p w:rsidR="00BF7562" w:rsidRPr="00EE1D63" w:rsidRDefault="00BF7562" w:rsidP="00741D9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F7562" w:rsidRDefault="00BF7562" w:rsidP="00741D9C">
            <w:pPr>
              <w:pStyle w:val="UNIT"/>
              <w:spacing w:line="240" w:lineRule="auto"/>
              <w:rPr>
                <w:color w:val="000000" w:themeColor="text1"/>
              </w:rPr>
            </w:pPr>
            <w:r w:rsidRPr="00EE1D63">
              <w:rPr>
                <w:color w:val="000000" w:themeColor="text1"/>
              </w:rPr>
              <w:t>UNIT – III</w:t>
            </w:r>
          </w:p>
          <w:p w:rsidR="00BF7562" w:rsidRPr="00EE1D63" w:rsidRDefault="00BF7562" w:rsidP="00741D9C">
            <w:pPr>
              <w:pStyle w:val="UNIT"/>
              <w:spacing w:line="240" w:lineRule="auto"/>
              <w:rPr>
                <w:b w:val="0"/>
                <w:color w:val="000000" w:themeColor="text1"/>
                <w:shd w:val="clear" w:color="auto" w:fill="FFFFFF"/>
              </w:rPr>
            </w:pPr>
          </w:p>
          <w:p w:rsidR="00BF7562" w:rsidRDefault="00BF7562" w:rsidP="00741D9C">
            <w:pPr>
              <w:pStyle w:val="UNIT"/>
              <w:spacing w:line="240" w:lineRule="auto"/>
              <w:jc w:val="left"/>
              <w:rPr>
                <w:b w:val="0"/>
                <w:color w:val="000000" w:themeColor="text1"/>
                <w:u w:val="none"/>
              </w:rPr>
            </w:pPr>
            <w:r w:rsidRPr="00EE1D63">
              <w:rPr>
                <w:color w:val="000000" w:themeColor="text1"/>
                <w:u w:val="none"/>
              </w:rPr>
              <w:t xml:space="preserve">DNA Sequence Analysis: </w:t>
            </w:r>
            <w:r w:rsidRPr="00EE1D63">
              <w:rPr>
                <w:b w:val="0"/>
                <w:color w:val="000000" w:themeColor="text1"/>
                <w:u w:val="none"/>
              </w:rPr>
              <w:t xml:space="preserve">Introduction, Why analyse DNA, Gene Structure and DNA sequences, Features of DNA sequence analysis, Issues in the interpretation of EST searches, Two approaches to gene hunting, The expression profile of cell, </w:t>
            </w:r>
            <w:proofErr w:type="spellStart"/>
            <w:r w:rsidRPr="00EE1D63">
              <w:rPr>
                <w:b w:val="0"/>
                <w:color w:val="000000" w:themeColor="text1"/>
                <w:u w:val="none"/>
              </w:rPr>
              <w:t>cDNA</w:t>
            </w:r>
            <w:proofErr w:type="spellEnd"/>
            <w:r w:rsidRPr="00EE1D63">
              <w:rPr>
                <w:b w:val="0"/>
                <w:color w:val="000000" w:themeColor="text1"/>
                <w:u w:val="none"/>
              </w:rPr>
              <w:t xml:space="preserve"> and EST’s, Different approaches to EST analysis, Effects of EST data on DNA databases</w:t>
            </w:r>
          </w:p>
          <w:p w:rsidR="00BF7562" w:rsidRDefault="00BF7562" w:rsidP="00741D9C">
            <w:pPr>
              <w:pStyle w:val="UNIT"/>
              <w:spacing w:line="240" w:lineRule="auto"/>
              <w:jc w:val="left"/>
              <w:rPr>
                <w:b w:val="0"/>
                <w:color w:val="000000" w:themeColor="text1"/>
                <w:u w:val="none"/>
              </w:rPr>
            </w:pPr>
          </w:p>
          <w:p w:rsidR="00BF7562" w:rsidRDefault="00BF7562" w:rsidP="00741D9C">
            <w:pPr>
              <w:pStyle w:val="UNIT"/>
              <w:spacing w:line="240" w:lineRule="auto"/>
              <w:jc w:val="left"/>
              <w:rPr>
                <w:b w:val="0"/>
                <w:color w:val="000000" w:themeColor="text1"/>
                <w:u w:val="none"/>
              </w:rPr>
            </w:pPr>
          </w:p>
          <w:p w:rsidR="00BF7562" w:rsidRPr="00EE1D63" w:rsidRDefault="00BF7562" w:rsidP="00741D9C">
            <w:pPr>
              <w:pStyle w:val="UNIT"/>
              <w:spacing w:line="240" w:lineRule="auto"/>
              <w:jc w:val="left"/>
              <w:rPr>
                <w:b w:val="0"/>
                <w:color w:val="000000" w:themeColor="text1"/>
                <w:u w:val="none"/>
              </w:rPr>
            </w:pPr>
          </w:p>
          <w:p w:rsidR="00BF7562" w:rsidRDefault="00BF7562" w:rsidP="00741D9C">
            <w:pPr>
              <w:pStyle w:val="UNIT"/>
              <w:spacing w:line="240" w:lineRule="auto"/>
              <w:rPr>
                <w:color w:val="000000" w:themeColor="text1"/>
              </w:rPr>
            </w:pPr>
            <w:r w:rsidRPr="00EE1D63">
              <w:rPr>
                <w:color w:val="000000" w:themeColor="text1"/>
              </w:rPr>
              <w:t>UNIT – IV</w:t>
            </w:r>
          </w:p>
          <w:p w:rsidR="00BF7562" w:rsidRPr="00EE1D63" w:rsidRDefault="00BF7562" w:rsidP="00741D9C">
            <w:pPr>
              <w:pStyle w:val="UNIT"/>
              <w:spacing w:line="240" w:lineRule="auto"/>
              <w:rPr>
                <w:color w:val="000000" w:themeColor="text1"/>
              </w:rPr>
            </w:pPr>
          </w:p>
          <w:p w:rsidR="00BF7562" w:rsidRPr="00EE1D63" w:rsidRDefault="00BF7562" w:rsidP="00741D9C">
            <w:pPr>
              <w:pStyle w:val="UNIT"/>
              <w:spacing w:line="240" w:lineRule="auto"/>
              <w:jc w:val="left"/>
              <w:rPr>
                <w:b w:val="0"/>
                <w:color w:val="000000" w:themeColor="text1"/>
                <w:u w:val="none"/>
              </w:rPr>
            </w:pPr>
            <w:r w:rsidRPr="00EE1D63">
              <w:rPr>
                <w:color w:val="000000" w:themeColor="text1"/>
                <w:u w:val="none"/>
              </w:rPr>
              <w:t xml:space="preserve">Pairwise alignment techniques: </w:t>
            </w:r>
            <w:r w:rsidRPr="00EE1D63">
              <w:rPr>
                <w:b w:val="0"/>
                <w:color w:val="000000" w:themeColor="text1"/>
                <w:u w:val="none"/>
              </w:rPr>
              <w:t xml:space="preserve">Introduction, Database searching, Alphabets and </w:t>
            </w:r>
            <w:r w:rsidRPr="00EE1D63">
              <w:rPr>
                <w:b w:val="0"/>
                <w:color w:val="000000" w:themeColor="text1"/>
                <w:u w:val="none"/>
              </w:rPr>
              <w:lastRenderedPageBreak/>
              <w:t xml:space="preserve">complexity, Algorithms and programs, Comparing two sequences – a simple case, Sub – sequence, identity and similarity, The </w:t>
            </w:r>
            <w:proofErr w:type="spellStart"/>
            <w:r w:rsidRPr="00EE1D63">
              <w:rPr>
                <w:b w:val="0"/>
                <w:color w:val="000000" w:themeColor="text1"/>
                <w:u w:val="none"/>
              </w:rPr>
              <w:t>dotplot</w:t>
            </w:r>
            <w:proofErr w:type="spellEnd"/>
            <w:r w:rsidRPr="00EE1D63">
              <w:rPr>
                <w:b w:val="0"/>
                <w:color w:val="000000" w:themeColor="text1"/>
                <w:u w:val="none"/>
              </w:rPr>
              <w:t>, Local and global similarity, Global alignment, local alignment, pairwise database searching.</w:t>
            </w:r>
          </w:p>
          <w:p w:rsidR="00BF7562" w:rsidRPr="00EE1D63" w:rsidRDefault="00BF7562" w:rsidP="00741D9C">
            <w:pPr>
              <w:pStyle w:val="UNIT"/>
              <w:spacing w:line="240" w:lineRule="auto"/>
              <w:rPr>
                <w:color w:val="000000" w:themeColor="text1"/>
              </w:rPr>
            </w:pPr>
          </w:p>
          <w:p w:rsidR="00BF7562" w:rsidRPr="00EE1D63" w:rsidRDefault="00BF7562" w:rsidP="00741D9C">
            <w:pPr>
              <w:pStyle w:val="UNIT"/>
              <w:spacing w:line="240" w:lineRule="auto"/>
              <w:rPr>
                <w:color w:val="000000" w:themeColor="text1"/>
              </w:rPr>
            </w:pPr>
          </w:p>
          <w:p w:rsidR="00BF7562" w:rsidRDefault="00BF7562" w:rsidP="00741D9C">
            <w:pPr>
              <w:pStyle w:val="UNIT"/>
              <w:spacing w:line="240" w:lineRule="auto"/>
              <w:rPr>
                <w:color w:val="000000" w:themeColor="text1"/>
              </w:rPr>
            </w:pPr>
            <w:r w:rsidRPr="00EE1D63">
              <w:rPr>
                <w:color w:val="000000" w:themeColor="text1"/>
              </w:rPr>
              <w:t>UNIT – V</w:t>
            </w:r>
          </w:p>
          <w:p w:rsidR="00BF7562" w:rsidRPr="00EE1D63" w:rsidRDefault="00BF7562" w:rsidP="00741D9C">
            <w:pPr>
              <w:pStyle w:val="UNIT"/>
              <w:spacing w:line="240" w:lineRule="auto"/>
              <w:rPr>
                <w:color w:val="000000" w:themeColor="text1"/>
              </w:rPr>
            </w:pPr>
          </w:p>
          <w:p w:rsidR="00BF7562" w:rsidRPr="00EE1D63" w:rsidRDefault="00BF7562" w:rsidP="00741D9C">
            <w:pPr>
              <w:pStyle w:val="UNIT"/>
              <w:spacing w:line="240" w:lineRule="auto"/>
              <w:jc w:val="left"/>
              <w:rPr>
                <w:b w:val="0"/>
                <w:color w:val="000000" w:themeColor="text1"/>
                <w:u w:val="none"/>
              </w:rPr>
            </w:pPr>
            <w:r w:rsidRPr="00EE1D63">
              <w:rPr>
                <w:color w:val="000000" w:themeColor="text1"/>
                <w:u w:val="none"/>
              </w:rPr>
              <w:t xml:space="preserve">Multiple Sequence alignment : </w:t>
            </w:r>
            <w:r w:rsidRPr="00EE1D63">
              <w:rPr>
                <w:b w:val="0"/>
                <w:color w:val="000000" w:themeColor="text1"/>
                <w:u w:val="none"/>
              </w:rPr>
              <w:t>Introduction, The goal of multiple sequence alignment,</w:t>
            </w:r>
          </w:p>
          <w:p w:rsidR="00BF7562" w:rsidRDefault="00BF7562" w:rsidP="00741D9C">
            <w:pPr>
              <w:pStyle w:val="UNIT"/>
              <w:spacing w:line="240" w:lineRule="auto"/>
              <w:jc w:val="left"/>
              <w:rPr>
                <w:b w:val="0"/>
                <w:color w:val="000000" w:themeColor="text1"/>
                <w:u w:val="none"/>
              </w:rPr>
            </w:pPr>
            <w:r w:rsidRPr="00EE1D63">
              <w:rPr>
                <w:b w:val="0"/>
                <w:color w:val="000000" w:themeColor="text1"/>
                <w:u w:val="none"/>
              </w:rPr>
              <w:t>Multiple sequence alignment: a definition, Computational complexity, Manual methods. Simultaneous methods, Progressive methods, Databases of multiple alignments, Searching databases in multiple alignments.</w:t>
            </w:r>
          </w:p>
          <w:p w:rsidR="00BF7562" w:rsidRPr="00EE1D63" w:rsidRDefault="00BF7562" w:rsidP="00741D9C">
            <w:pPr>
              <w:pStyle w:val="UNIT"/>
              <w:spacing w:line="240" w:lineRule="auto"/>
              <w:jc w:val="left"/>
              <w:rPr>
                <w:color w:val="000000" w:themeColor="text1"/>
                <w:u w:val="none"/>
              </w:rPr>
            </w:pPr>
          </w:p>
          <w:p w:rsidR="00BF7562" w:rsidRDefault="00BF7562" w:rsidP="00741D9C">
            <w:pPr>
              <w:pStyle w:val="UNIT"/>
              <w:spacing w:line="240" w:lineRule="auto"/>
              <w:rPr>
                <w:color w:val="000000" w:themeColor="text1"/>
              </w:rPr>
            </w:pPr>
            <w:r w:rsidRPr="00EE1D63">
              <w:rPr>
                <w:color w:val="000000" w:themeColor="text1"/>
              </w:rPr>
              <w:t>UNIT – VI</w:t>
            </w:r>
          </w:p>
          <w:p w:rsidR="00BF7562" w:rsidRPr="00EE1D63" w:rsidRDefault="00BF7562" w:rsidP="00741D9C">
            <w:pPr>
              <w:pStyle w:val="UNIT"/>
              <w:spacing w:line="240" w:lineRule="auto"/>
              <w:rPr>
                <w:color w:val="000000" w:themeColor="text1"/>
              </w:rPr>
            </w:pPr>
          </w:p>
          <w:p w:rsidR="00BF7562" w:rsidRDefault="00BF7562" w:rsidP="00741D9C">
            <w:pPr>
              <w:pStyle w:val="UNIT"/>
              <w:spacing w:line="240" w:lineRule="auto"/>
              <w:jc w:val="left"/>
              <w:rPr>
                <w:b w:val="0"/>
                <w:color w:val="000000" w:themeColor="text1"/>
                <w:u w:val="none"/>
              </w:rPr>
            </w:pPr>
            <w:r w:rsidRPr="00EE1D63">
              <w:rPr>
                <w:color w:val="000000" w:themeColor="text1"/>
                <w:u w:val="none"/>
              </w:rPr>
              <w:t xml:space="preserve">Secondary database searching: </w:t>
            </w:r>
            <w:r w:rsidRPr="00EE1D63">
              <w:rPr>
                <w:b w:val="0"/>
                <w:color w:val="000000" w:themeColor="text1"/>
                <w:u w:val="none"/>
              </w:rPr>
              <w:t>Introduction, why bother with secondary database searche</w:t>
            </w:r>
            <w:r>
              <w:rPr>
                <w:b w:val="0"/>
                <w:color w:val="000000" w:themeColor="text1"/>
                <w:u w:val="none"/>
              </w:rPr>
              <w:t>s? What’s in secondary database</w:t>
            </w:r>
          </w:p>
          <w:p w:rsidR="00BF7562" w:rsidRPr="00EE1D63" w:rsidRDefault="00BF7562" w:rsidP="00741D9C">
            <w:pPr>
              <w:pStyle w:val="UNIT"/>
              <w:spacing w:line="240" w:lineRule="auto"/>
              <w:jc w:val="left"/>
              <w:rPr>
                <w:b w:val="0"/>
                <w:color w:val="000000" w:themeColor="text1"/>
                <w:u w:val="none"/>
              </w:rPr>
            </w:pPr>
          </w:p>
          <w:p w:rsidR="00BF7562" w:rsidRPr="00EE1D63" w:rsidRDefault="00BF7562" w:rsidP="00741D9C">
            <w:pPr>
              <w:pStyle w:val="UNIT"/>
              <w:spacing w:line="240" w:lineRule="auto"/>
              <w:jc w:val="left"/>
              <w:rPr>
                <w:color w:val="000000" w:themeColor="text1"/>
                <w:u w:val="none"/>
              </w:rPr>
            </w:pPr>
            <w:r w:rsidRPr="00EE1D63">
              <w:rPr>
                <w:color w:val="000000" w:themeColor="text1"/>
                <w:u w:val="none"/>
              </w:rPr>
              <w:t>Building a Sequence search protocol:</w:t>
            </w:r>
            <w:r w:rsidRPr="00EE1D63">
              <w:rPr>
                <w:b w:val="0"/>
                <w:color w:val="000000" w:themeColor="text1"/>
                <w:u w:val="none"/>
              </w:rPr>
              <w:t xml:space="preserve"> Introduction, A practical approach, when to believe a result, Structural and Functional interpretation</w:t>
            </w:r>
          </w:p>
          <w:p w:rsidR="00BF7562" w:rsidRPr="00EE1D63" w:rsidRDefault="00BF7562" w:rsidP="00741D9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F7562" w:rsidRPr="00EE1D63" w:rsidTr="00741D9C">
        <w:trPr>
          <w:trHeight w:val="2798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562" w:rsidRPr="00EE1D63" w:rsidRDefault="00BF7562" w:rsidP="00741D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Text Books</w:t>
            </w:r>
          </w:p>
          <w:p w:rsidR="00BF7562" w:rsidRPr="00EE1D63" w:rsidRDefault="00BF7562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EE1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 References:</w:t>
            </w:r>
          </w:p>
        </w:tc>
        <w:tc>
          <w:tcPr>
            <w:tcW w:w="8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BF7562" w:rsidRPr="00EE1D63" w:rsidRDefault="00BF7562" w:rsidP="00741D9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1D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Text Book:</w:t>
            </w:r>
          </w:p>
          <w:p w:rsidR="00BF7562" w:rsidRPr="00EE1D63" w:rsidRDefault="00BF7562" w:rsidP="00BF7562">
            <w:pPr>
              <w:pStyle w:val="ListParagraph"/>
              <w:numPr>
                <w:ilvl w:val="0"/>
                <w:numId w:val="2"/>
              </w:numPr>
              <w:ind w:left="814" w:hanging="2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Introduction to Bioinformatics. </w:t>
            </w:r>
            <w:proofErr w:type="spellStart"/>
            <w:r w:rsidRPr="00EE1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Terese</w:t>
            </w:r>
            <w:proofErr w:type="spellEnd"/>
            <w:r w:rsidRPr="00EE1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1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K.Attwood</w:t>
            </w:r>
            <w:proofErr w:type="spellEnd"/>
            <w:r w:rsidRPr="00EE1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and David J. Parry </w:t>
            </w:r>
            <w:proofErr w:type="gramStart"/>
            <w:r w:rsidRPr="00EE1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 Smith</w:t>
            </w:r>
            <w:proofErr w:type="gramEnd"/>
            <w:r w:rsidRPr="00EE1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F7562" w:rsidRDefault="00BF7562" w:rsidP="00741D9C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1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Reference Books:</w:t>
            </w:r>
          </w:p>
          <w:p w:rsidR="00BF7562" w:rsidRPr="00EE1D63" w:rsidRDefault="00BF7562" w:rsidP="00741D9C">
            <w:pPr>
              <w:ind w:left="814" w:hanging="270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1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1. Andreas </w:t>
            </w:r>
            <w:proofErr w:type="spellStart"/>
            <w:r w:rsidRPr="00EE1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D.Baxevanis</w:t>
            </w:r>
            <w:proofErr w:type="spellEnd"/>
            <w:r w:rsidRPr="00EE1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, B.F. Francis Ouellette, "Bioinformatics - A Practical Guide to the Analysis of Genes and Proteins", Third Edition, 2005-2006, ISBN: 978-81-265-2192-0, published by John Wiley &amp; Sons INC., U.K.</w:t>
            </w:r>
          </w:p>
          <w:p w:rsidR="00BF7562" w:rsidRPr="00EE1D63" w:rsidRDefault="00BF7562" w:rsidP="00741D9C">
            <w:pPr>
              <w:ind w:left="814" w:hanging="27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Jean-Michel </w:t>
            </w:r>
            <w:proofErr w:type="spellStart"/>
            <w:r w:rsidRPr="00EE1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Claverie</w:t>
            </w:r>
            <w:proofErr w:type="spellEnd"/>
            <w:r w:rsidRPr="00EE1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Cedric </w:t>
            </w:r>
            <w:proofErr w:type="spellStart"/>
            <w:r w:rsidRPr="00EE1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Notredame</w:t>
            </w:r>
            <w:proofErr w:type="spellEnd"/>
            <w:r w:rsidRPr="00EE1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“Bioinformatics For Dummies”, 2nd Edition</w:t>
            </w:r>
            <w:proofErr w:type="gramStart"/>
            <w:r w:rsidRPr="00EE1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,2006</w:t>
            </w:r>
            <w:proofErr w:type="gramEnd"/>
            <w:r w:rsidRPr="00EE1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ISBN: 978-0-470-08985-9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F7562" w:rsidRPr="00EE1D63" w:rsidTr="00741D9C">
        <w:trPr>
          <w:trHeight w:hRule="exact" w:val="592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562" w:rsidRPr="00EE1D63" w:rsidRDefault="00BF7562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EE1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562" w:rsidRPr="00EE1D63" w:rsidRDefault="00BF7562" w:rsidP="00BF7562">
            <w:pPr>
              <w:pStyle w:val="ListParagraph"/>
              <w:numPr>
                <w:ilvl w:val="0"/>
                <w:numId w:val="3"/>
              </w:numPr>
              <w:ind w:left="814" w:hanging="270"/>
              <w:rPr>
                <w:rStyle w:val="Hyperlink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Pr="00EE1D6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https://nptel.ac.in/courses</w:t>
              </w:r>
            </w:hyperlink>
          </w:p>
          <w:p w:rsidR="00BF7562" w:rsidRPr="00EE1D63" w:rsidRDefault="00BF7562" w:rsidP="00BF7562">
            <w:pPr>
              <w:pStyle w:val="ListParagraph"/>
              <w:numPr>
                <w:ilvl w:val="0"/>
                <w:numId w:val="3"/>
              </w:numPr>
              <w:ind w:left="814" w:hanging="27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E1D6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https://freevideolectures.com/university/iitm</w:t>
              </w:r>
            </w:hyperlink>
          </w:p>
        </w:tc>
      </w:tr>
    </w:tbl>
    <w:p w:rsidR="00BF7562" w:rsidRPr="003A2F7E" w:rsidRDefault="00BF7562" w:rsidP="00BF7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2F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F7562" w:rsidRPr="003A2F7E" w:rsidRDefault="00BF7562" w:rsidP="00BF7562">
      <w:pPr>
        <w:rPr>
          <w:rFonts w:ascii="Times New Roman" w:hAnsi="Times New Roman" w:cs="Times New Roman"/>
        </w:rPr>
      </w:pPr>
    </w:p>
    <w:p w:rsidR="00BF7562" w:rsidRDefault="00BF7562" w:rsidP="00BF7562">
      <w:pPr>
        <w:rPr>
          <w:rFonts w:ascii="Times New Roman" w:hAnsi="Times New Roman" w:cs="Times New Roman"/>
        </w:rPr>
      </w:pPr>
    </w:p>
    <w:p w:rsidR="000B5BF2" w:rsidRDefault="000B5BF2">
      <w:bookmarkStart w:id="0" w:name="_GoBack"/>
      <w:bookmarkEnd w:id="0"/>
    </w:p>
    <w:sectPr w:rsidR="000B5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C3A2A"/>
    <w:multiLevelType w:val="hybridMultilevel"/>
    <w:tmpl w:val="5BD8DE1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">
    <w:nsid w:val="4B833717"/>
    <w:multiLevelType w:val="hybridMultilevel"/>
    <w:tmpl w:val="FFB42C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E777FD1"/>
    <w:multiLevelType w:val="hybridMultilevel"/>
    <w:tmpl w:val="FFB42C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B1"/>
    <w:rsid w:val="000B5BF2"/>
    <w:rsid w:val="006D06B1"/>
    <w:rsid w:val="00B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562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7562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BF7562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BF7562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BF7562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UNITChar">
    <w:name w:val="UNIT Char"/>
    <w:basedOn w:val="DefaultParagraphFont"/>
    <w:link w:val="UNIT"/>
    <w:rsid w:val="00BF7562"/>
    <w:rPr>
      <w:rFonts w:ascii="Times New Roman" w:eastAsia="Calibri" w:hAnsi="Times New Roman" w:cs="Times New Roman"/>
      <w:b/>
      <w:bCs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BF756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F7562"/>
    <w:rPr>
      <w:rFonts w:ascii="Calibri" w:eastAsia="Calibri" w:hAnsi="Calibri" w:cs="Calibri"/>
      <w:color w:val="000000"/>
      <w:u w:color="000000"/>
      <w:lang w:val="en-US"/>
    </w:rPr>
  </w:style>
  <w:style w:type="table" w:styleId="TableGrid">
    <w:name w:val="Table Grid"/>
    <w:basedOn w:val="TableNormal"/>
    <w:uiPriority w:val="59"/>
    <w:rsid w:val="00BF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562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7562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BF7562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BF7562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BF7562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UNITChar">
    <w:name w:val="UNIT Char"/>
    <w:basedOn w:val="DefaultParagraphFont"/>
    <w:link w:val="UNIT"/>
    <w:rsid w:val="00BF7562"/>
    <w:rPr>
      <w:rFonts w:ascii="Times New Roman" w:eastAsia="Calibri" w:hAnsi="Times New Roman" w:cs="Times New Roman"/>
      <w:b/>
      <w:bCs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BF756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F7562"/>
    <w:rPr>
      <w:rFonts w:ascii="Calibri" w:eastAsia="Calibri" w:hAnsi="Calibri" w:cs="Calibri"/>
      <w:color w:val="000000"/>
      <w:u w:color="000000"/>
      <w:lang w:val="en-US"/>
    </w:rPr>
  </w:style>
  <w:style w:type="table" w:styleId="TableGrid">
    <w:name w:val="Table Grid"/>
    <w:basedOn w:val="TableNormal"/>
    <w:uiPriority w:val="59"/>
    <w:rsid w:val="00BF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reevideolectures.com/university/ii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tel.ac.in/cours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2019-05-02T05:01:00Z</dcterms:created>
  <dcterms:modified xsi:type="dcterms:W3CDTF">2019-05-02T05:02:00Z</dcterms:modified>
</cp:coreProperties>
</file>